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right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ГОСТ 9.307-89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right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(ИСО 1461-89)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right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right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Группа Т94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МЕЖГОСУДАРСТВЕННЫЙ СТАНДАРТ 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Единая система защиты от коррозии и старения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ПОКРЫТИЯ ЦИНКОВЫЕ ГОРЯЧИЕ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Общие требования и методы контроля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Unified system of corrosion and ageing protection. Hot-dip zinc coatings. General requirements and methods of control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МКС 25.220.40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ОКСТУ 0009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right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Дата введения 1990-07-01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360" w:before="0" w:lineRule="auto"/>
        <w:jc w:val="center"/>
        <w:rPr>
          <w:b w:val="1"/>
          <w:color w:val="444444"/>
          <w:sz w:val="24"/>
          <w:szCs w:val="24"/>
        </w:rPr>
      </w:pPr>
      <w:bookmarkStart w:colFirst="0" w:colLast="0" w:name="_6vzm6mke15pv" w:id="0"/>
      <w:bookmarkEnd w:id="0"/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ИНФОРМАЦИОННЫЕ ДАННЫЕ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 РАЗРАБОТАН И ВНЕСЕН Государственным строительным комитетом СССР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РАЗРАБОТЧИКИ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С.В.Марутьян, канд. техн. наук (руководитель темы), С.А.Клочко, Л.Н.Павлова, С.Г.Гутник, Л.М.Белоусова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 УТВЕРЖДЕН И ВВЕДЕН В ДЕЙСТВИЕ Постановлением Государственного комитета СССР по стандартам от 30.05.89 N 1379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 Стандарт полностью соответствует международным стандартам ИСО 1461-89*, СТ СЭВ 4663-84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* Доступ к международным и зарубежным документам, упомянутым в тексте, можно получить, обратившись в </w:t>
      </w:r>
      <w:hyperlink r:id="rId6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Службу поддержки пользователей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. - Примечание изготовителя базы данных.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3451a0"/>
          <w:sz w:val="24"/>
          <w:szCs w:val="24"/>
          <w:u w:val="single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 ВЗАМЕН </w:t>
      </w:r>
      <w:hyperlink r:id="rId7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9.307-85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5. ССЫЛОЧНЫЕ НОРМАТИВНО-ТЕХНИЧЕСКИЕ ДОКУМЕНТЫ</w:t>
      </w:r>
    </w:p>
    <w:tbl>
      <w:tblPr>
        <w:tblStyle w:val="Table1"/>
        <w:tblW w:w="669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2820"/>
        <w:tblGridChange w:id="0">
          <w:tblGrid>
            <w:gridCol w:w="3870"/>
            <w:gridCol w:w="2820"/>
          </w:tblGrid>
        </w:tblGridChange>
      </w:tblGrid>
      <w:tr>
        <w:trPr>
          <w:trHeight w:val="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Обозначение НТД, на который дана ссылка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Номер пункта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451a0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color w:val="3451a0"/>
                  <w:sz w:val="24"/>
                  <w:szCs w:val="24"/>
                  <w:u w:val="single"/>
                  <w:rtl w:val="0"/>
                </w:rPr>
                <w:t xml:space="preserve">ГОСТ 9.302-88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4.2.3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451a0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color w:val="3451a0"/>
                  <w:sz w:val="24"/>
                  <w:szCs w:val="24"/>
                  <w:u w:val="single"/>
                  <w:rtl w:val="0"/>
                </w:rPr>
                <w:t xml:space="preserve">ГОСТ 9.402-80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1.2.5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451a0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color w:val="3451a0"/>
                  <w:sz w:val="24"/>
                  <w:szCs w:val="24"/>
                  <w:u w:val="single"/>
                  <w:rtl w:val="0"/>
                </w:rPr>
                <w:t xml:space="preserve">ГОСТ 3118-77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4.2.3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451a0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color w:val="3451a0"/>
                  <w:sz w:val="24"/>
                  <w:szCs w:val="24"/>
                  <w:u w:val="single"/>
                  <w:rtl w:val="0"/>
                </w:rPr>
                <w:t xml:space="preserve">ГОСТ 6709-72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4.2.3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451a0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color w:val="3451a0"/>
                  <w:sz w:val="24"/>
                  <w:szCs w:val="24"/>
                  <w:u w:val="single"/>
                  <w:rtl w:val="0"/>
                </w:rPr>
                <w:t xml:space="preserve">ГОСТ 19251.1-79</w:t>
              </w:r>
            </w:hyperlink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 - </w:t>
            </w:r>
            <w:hyperlink r:id="rId13">
              <w:r w:rsidDel="00000000" w:rsidR="00000000" w:rsidRPr="00000000">
                <w:rPr>
                  <w:color w:val="3451a0"/>
                  <w:sz w:val="24"/>
                  <w:szCs w:val="24"/>
                  <w:u w:val="single"/>
                  <w:rtl w:val="0"/>
                </w:rPr>
                <w:t xml:space="preserve">ГОСТ 19251.3-79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4.3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451a0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color w:val="3451a0"/>
                  <w:sz w:val="24"/>
                  <w:szCs w:val="24"/>
                  <w:u w:val="single"/>
                  <w:rtl w:val="0"/>
                </w:rPr>
                <w:t xml:space="preserve">ГОСТ 19251.5-79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4.3</w:t>
            </w:r>
          </w:p>
        </w:tc>
      </w:tr>
    </w:tbl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6. ПЕРЕИЗДАНИЕ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Настоящий стандарт устанавливает общие требования (далее - требования) к защитным покрытиям, нанесенным методом горячего цинкования (далее - покрытиям) на конструкционную сталь, в том числе повышенной прочности, стальные конструкции, изделия из фасонного проката и листовой стали, комплекты труб, трубы большого диаметра, изогнутые или сваренные до нанесения покрытия, контейнеры, изделия из стальной проволоки, крепежные изделия, обрабатываемые в общей массе, стальные и чугунные отливки, поковки, штампованные стальные изделия, а также к основному металлу и методам контроля качества покрытий.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Настоящий стандарт не распространяется на покрытия, нанесенные непрерывным способом.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360" w:before="0" w:lineRule="auto"/>
        <w:jc w:val="center"/>
        <w:rPr>
          <w:b w:val="1"/>
          <w:color w:val="444444"/>
          <w:sz w:val="24"/>
          <w:szCs w:val="24"/>
        </w:rPr>
      </w:pPr>
      <w:bookmarkStart w:colFirst="0" w:colLast="0" w:name="_4gdejfyvefj4" w:id="1"/>
      <w:bookmarkEnd w:id="1"/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1. ТРЕБОВАНИЯ К ОСНОВНОМУ МЕТАЛЛУ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1.1. Требования к конструкции изделий, подлежащих цинкованию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1.1.1. В конструкциях не должно быть карманов, закрытых полостей и воздушных мешков; все полости должны быть доступны для беспрепятственного поступления и выхода из них жидкостей, расплавленного цинка и газов.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Полые изделия и изделия сложной формы подвергают пробному цинкованию.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Не допускается во избежание взрыва наносить покрытия на изделия, имеющие закрытые полости.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1.1.2. Сварку элементов конструкций следует производить встык либо двусторонними швами, либо односторонним швом с подваркой.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Не допускается цинковать изделия со сварными соединениями внахлестку.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1.2. Требования к поверхности основного металла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1.2.1. На поверхности основного металла не допускаются закатанная окалина, заусенцы, поры, включения, сварочные шлаки, остатки формовочной массы, графита, смазки, металлической стружки, маркировочной краски.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1.2.2. На поверхности литых изделий не должно быть пор и усадочных раковин.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1.2.3. Сварные швы должны быть равномерными, плотными и сплошными по всей длине.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Не допускаются поры, свищи, трещины, шлаковые включения, наплавные сопряжения сварных швов.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1.2.4. Острые углы и кромки изделий, за исключением технически обоснованных случаев, должны быть скруглены радиусом не менее 0,3 мм.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1.2.5. Поверхность изделий, подлежащих горячему цинкованию, должна быть очищена обезжириванием, последующим травлением или струйно-абразивной обработкой, затем офлюсована.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Степень очистки поверхности от окалины и продуктов коррозии - 1 по </w:t>
      </w:r>
      <w:hyperlink r:id="rId15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9.402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360" w:before="0" w:lineRule="auto"/>
        <w:jc w:val="center"/>
        <w:rPr>
          <w:b w:val="1"/>
          <w:color w:val="444444"/>
          <w:sz w:val="24"/>
          <w:szCs w:val="24"/>
        </w:rPr>
      </w:pPr>
      <w:bookmarkStart w:colFirst="0" w:colLast="0" w:name="_lhzqp8fnz598" w:id="2"/>
      <w:bookmarkEnd w:id="2"/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2. ТРЕБОВАНИЯ К ПОКРЫТИЮ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2.1. Внешний вид покрытия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2.1.1. При внешнем осмотре поверхность цинкового покрытия должна быть гладкой или шероховатой, покрытие должно быть сплошным.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Цвет покрытия от серебристо-блестящего до матового темно-серого.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2.1.2. На поверхности изделий не должно быть трещин, забоин, вздутий.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2.1.3. Наличие наплывов цинка недопустимо, если они препятствуют сборке. Крупинки гартцинка диаметром не более 2 мм, рябизна поверхности, светло-серые пятна и цвета побежалости, риски, царапины, следы захвата подъемными приспособлениями без разрушения покрытия до основного металла не являются дефектами.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Допустимо восстановление непрокрытых участков, если они не шире 2 см и составляют не более 2% общей площади поверхности. Непрокрытые участки защищают слоем цинксодержащего лакокрасочного покрытия (минимальная толщина 90 мкм, массовая доля цинка в сухой пленке 80%-85%) или газотермическим напылением цинка (минимальная толщина 120 мкм).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2.2. Толщина покрытия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Толщина покрытия должна быть нe менее 40 мкм и не более 200 мкм и определяется условиями эксплуатации оцинкованных изделий и нормативно-технической документацией на конкретное изделие.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2.3. Прочность сцепления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Покрытие обладает удовлетворительным сцеплением, если выдерживает испытания по методам, приведенным в п.4.4.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360" w:before="0" w:lineRule="auto"/>
        <w:jc w:val="center"/>
        <w:rPr>
          <w:b w:val="1"/>
          <w:color w:val="444444"/>
          <w:sz w:val="24"/>
          <w:szCs w:val="24"/>
        </w:rPr>
      </w:pPr>
      <w:bookmarkStart w:colFirst="0" w:colLast="0" w:name="_xdrzqvvf8oiq" w:id="3"/>
      <w:bookmarkEnd w:id="3"/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3. ТРЕБОВАНИЯ К КОНТРОЛЮ ОСНОВНОГО МЕТАЛЛА И КАЧЕСТВА ПОКРЫТИЯ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3.1. Перед нанесением покрытий 2%-5% изделий из партии, но не менее трех, а для изделий единичного производства - каждое изделие контролируют на соответствие пп.1.1, 1.2.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3.2. Полуфабрикаты (проволоку, трубы и т.п.) подвергают входному контролю на соответствие требованиям нормативно-технической документации на поставку и требованиям пп.1.1, 1.2.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3.3. Нанесенное цинковое покрытие подвергают контролю по внешнему виду, толщине и прочности сцепления.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На контроль предъявляют каждую партию оцинкованных изделий. За партию принимают единицу продукции или груза, состоящую из одного или более изделий одинакового типа и размера, принадлежащих к одному заказу, если на них нанесено покрытие за одну смену и в одной и той же ванне.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3.4. Контроль внешнего вида покрытий проводят на 100% изделий.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3.5. Контролю толщины и прочности сцепления подвергают: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1) элементы стальных конструкций в количестве до 1%, но не менее 2 шт. от партии;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2) сварные узлы в количестве до 5%, но не менее 1 штуки от партии;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3) резьбовые крепежные детали в количестве до 0,5%, но не менее 3 штук от партии.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Допускается применение методов статистического контроля по </w:t>
      </w:r>
      <w:hyperlink r:id="rId16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18242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*.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* На территории Российской Федерации действует </w:t>
      </w:r>
      <w:hyperlink r:id="rId17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Р 50779.71-99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Контроль толщины покрытия металлографическим методом допускается проводить на одной детали из партии.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3.6. Изделия, на которых проводился контроль качества разрушающими методами, разрешается предъявлять к приемке после восстановления покрытия.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3.7. Контроль толщины покрытия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3.7.1. Контроль толщины покрытия проводят до его дополнительной обработки (хроматирование, нанесение консервационных смазок и т.п.).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3.7.2. Толщину покрытия контролируют на поверхности, не имеющей накатки и резьбы на расстоянии не менее 5 мм от ребер, углов, отверстий и мест контакта с приспособлением. Толщину покрытия на резьбовых крепежных деталях контролируют на головках болтов и на торцах гаек.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3.7.3. Измерительный инструмент для неразрушающего контроля толщины покрытия должен иметь погрешность измерения не более ±10%.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3.8. При получении неудовлетворительных результатов контроля толщины и прочности сцепления проводят повторный контроль на удвоенном количестве деталей.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При получении неудовлетворительных результатов повторного контроля всю партию оцинкованных изделий бракуют.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3.9. Контроль состава ванны горячего цинкования по требованию заказчика проводят до извлечения изделий из ванны.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keepNext w:val="0"/>
        <w:keepLines w:val="0"/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360" w:before="0" w:lineRule="auto"/>
        <w:jc w:val="center"/>
        <w:rPr>
          <w:b w:val="1"/>
          <w:color w:val="444444"/>
          <w:sz w:val="24"/>
          <w:szCs w:val="24"/>
        </w:rPr>
      </w:pPr>
      <w:bookmarkStart w:colFirst="0" w:colLast="0" w:name="_j15jxy86g12k" w:id="4"/>
      <w:bookmarkEnd w:id="4"/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4. МЕТОДЫ КОНТРОЛЯ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4.1. Контроль внешнего вида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Внешний вид покрытий контролируют визуальным осмотром невооруженным глазом при освещенности не менее 300 лк на расстоянии 25 см от контролируемой поверхности.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4.2. Контроль толщины покрытия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4.2.1. Магнитный метод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Метод основан на регистрации изменения магнитного сопротивления в зависимости от толщины покрытия. В качестве измерительных приборов используют магнитные толщиномеры.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За результат измерения толщины покрытия принимают среднеарифметическое значение не менее пяти измерений у краев и в середине контролируемой поверхности одного изделия.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Относительная погрешность метода -  ±10%.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4.2.2. Металлографический метод (арбитражный)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Метод основан на измерении толщины покрытия на поперечном шлифе с применением металлографических микроскопов различных типов.</w:t>
      </w:r>
    </w:p>
    <w:p w:rsidR="00000000" w:rsidDel="00000000" w:rsidP="00000000" w:rsidRDefault="00000000" w:rsidRPr="00000000" w14:paraId="000000A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Образец для изготовления шлифа вырезают из оцинкованного изделия.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Толщину цинкового покрытия измеряют на шлифе в трех и более точках, равномерно распределенных на линейном участке длиной около 1 см. За результат принимают среднеарифметическое значение результатов всех измерений.</w:t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Относительная погрешность метода -  ±10%.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4.2.3. Среднюю толщину покрытия (</w:t>
      </w:r>
      <w:r w:rsidDel="00000000" w:rsidR="00000000" w:rsidRPr="00000000">
        <w:rPr>
          <w:color w:val="444444"/>
          <w:sz w:val="24"/>
          <w:szCs w:val="24"/>
        </w:rPr>
        <w:drawing>
          <wp:inline distB="114300" distT="114300" distL="114300" distR="114300">
            <wp:extent cx="292100" cy="241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) в микрометрах определяют неразрушающими методами или гравиметрическим методом по разности масс образца до и после получения или до и после снятия покрытия по </w:t>
      </w:r>
      <w:hyperlink r:id="rId19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9.302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Для снятия покрытия применяют раствор: 3,2 г хлористой сурьмы или 2 г трехокиси сурьмы растворяют в 500 см</w:t>
      </w:r>
      <w:r w:rsidDel="00000000" w:rsidR="00000000" w:rsidRPr="00000000">
        <w:rPr>
          <w:color w:val="444444"/>
          <w:sz w:val="24"/>
          <w:szCs w:val="24"/>
        </w:rPr>
        <w:drawing>
          <wp:inline distB="114300" distT="114300" distL="114300" distR="114300">
            <wp:extent cx="101600" cy="215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 соляной кислоты, плотностью 1,19 г/см</w:t>
      </w:r>
      <w:r w:rsidDel="00000000" w:rsidR="00000000" w:rsidRPr="00000000">
        <w:rPr>
          <w:color w:val="444444"/>
          <w:sz w:val="24"/>
          <w:szCs w:val="24"/>
        </w:rPr>
        <w:drawing>
          <wp:inline distB="114300" distT="114300" distL="114300" distR="114300">
            <wp:extent cx="101600" cy="2159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, ч.д.а., по </w:t>
      </w:r>
      <w:hyperlink r:id="rId22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3118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 в мерной колбе вместимостью 1 дм</w:t>
      </w:r>
      <w:r w:rsidDel="00000000" w:rsidR="00000000" w:rsidRPr="00000000">
        <w:rPr>
          <w:color w:val="444444"/>
          <w:sz w:val="24"/>
          <w:szCs w:val="24"/>
        </w:rPr>
        <w:drawing>
          <wp:inline distB="114300" distT="114300" distL="114300" distR="114300">
            <wp:extent cx="101600" cy="2159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 и доводят до метки дистиллированной водой по </w:t>
      </w:r>
      <w:hyperlink r:id="rId24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6709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Относительная погрешность гравиметрического метода -  ±10%.</w:t>
      </w:r>
    </w:p>
    <w:p w:rsidR="00000000" w:rsidDel="00000000" w:rsidP="00000000" w:rsidRDefault="00000000" w:rsidRPr="00000000" w14:paraId="000000B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4.3. Контроль химического состава цинкового расплава - по </w:t>
      </w:r>
      <w:hyperlink r:id="rId25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19251.1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, </w:t>
      </w:r>
      <w:hyperlink r:id="rId26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19251.2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, </w:t>
      </w:r>
      <w:hyperlink r:id="rId27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19251.3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, </w:t>
      </w:r>
      <w:hyperlink r:id="rId28">
        <w:r w:rsidDel="00000000" w:rsidR="00000000" w:rsidRPr="00000000">
          <w:rPr>
            <w:color w:val="3451a0"/>
            <w:sz w:val="24"/>
            <w:szCs w:val="24"/>
            <w:u w:val="single"/>
            <w:rtl w:val="0"/>
          </w:rPr>
          <w:t xml:space="preserve">ГОСТ 19251.5</w:t>
        </w:r>
      </w:hyperlink>
      <w:r w:rsidDel="00000000" w:rsidR="00000000" w:rsidRPr="00000000">
        <w:rPr>
          <w:color w:val="44444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Массовая доля цинка в рабочем объеме ванны должна быть не менее 98%.</w:t>
      </w:r>
    </w:p>
    <w:p w:rsidR="00000000" w:rsidDel="00000000" w:rsidP="00000000" w:rsidRDefault="00000000" w:rsidRPr="00000000" w14:paraId="000000B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4.4. Контроль прочности сцепления покрытий</w:t>
      </w:r>
    </w:p>
    <w:p w:rsidR="00000000" w:rsidDel="00000000" w:rsidP="00000000" w:rsidRDefault="00000000" w:rsidRPr="00000000" w14:paraId="000000B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4.4.1. Метод нанесения сетки царапин (при толщине покрытий до 50 мкм)</w:t>
      </w:r>
    </w:p>
    <w:p w:rsidR="00000000" w:rsidDel="00000000" w:rsidP="00000000" w:rsidRDefault="00000000" w:rsidRPr="00000000" w14:paraId="000000B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На очищенной поверхности контролируемого покрытия инструментом со стальным острием под углом 30° (твердость металла острия должна быть выше твердости покрытия) наносят по четыре-шесть параллельных линий глубиной до основного металла на расстоянии от 2,0 до 3,0 мм друг от друга и перпендикулярно к ним. Линии проводят в одном направлении. Прочность сцепления удовлетворительна, если на контролируемой поверхности не наблюдается отслаивание покрытия.</w:t>
      </w:r>
    </w:p>
    <w:p w:rsidR="00000000" w:rsidDel="00000000" w:rsidP="00000000" w:rsidRDefault="00000000" w:rsidRPr="00000000" w14:paraId="000000C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4.4.2. Метод крацевания</w:t>
      </w:r>
    </w:p>
    <w:p w:rsidR="00000000" w:rsidDel="00000000" w:rsidP="00000000" w:rsidRDefault="00000000" w:rsidRPr="00000000" w14:paraId="000000C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Для метода крацевания применяют стальные и латунные щетки диаметром проволоки 0,1-0,3 мм и скоростью вращения щеток - 1500-2800 мин</w:t>
      </w:r>
      <w:r w:rsidDel="00000000" w:rsidR="00000000" w:rsidRPr="00000000">
        <w:rPr>
          <w:color w:val="444444"/>
          <w:sz w:val="24"/>
          <w:szCs w:val="24"/>
        </w:rPr>
        <w:drawing>
          <wp:inline distB="114300" distT="114300" distL="114300" distR="114300">
            <wp:extent cx="139700" cy="1905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Поверхность покрытия крацуют не менее 15 с. После крацевания на контролируемой поверхности не должно наблюдаться вздутия или отслаивания покрытия.</w:t>
      </w:r>
    </w:p>
    <w:p w:rsidR="00000000" w:rsidDel="00000000" w:rsidP="00000000" w:rsidRDefault="00000000" w:rsidRPr="00000000" w14:paraId="000000C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4.4.3. Метод нагрева</w:t>
      </w:r>
    </w:p>
    <w:p w:rsidR="00000000" w:rsidDel="00000000" w:rsidP="00000000" w:rsidRDefault="00000000" w:rsidRPr="00000000" w14:paraId="000000C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При применении метода нагрева детали с покрытием или образцы-свидетели нагревают до (190±10)°С, выдерживают при данной температуре в течение 1 ч и охлаждают на воздухе. На контролируемой поверхности не допускаются вздутия или отслаивания покрытия.</w:t>
      </w:r>
    </w:p>
    <w:p w:rsidR="00000000" w:rsidDel="00000000" w:rsidP="00000000" w:rsidRDefault="00000000" w:rsidRPr="00000000" w14:paraId="000000C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4.4.4. Метод удара поворотным молотком</w:t>
      </w:r>
    </w:p>
    <w:p w:rsidR="00000000" w:rsidDel="00000000" w:rsidP="00000000" w:rsidRDefault="00000000" w:rsidRPr="00000000" w14:paraId="000000C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Плоскую поверхность изделия с толщиной основного металла не менее 3 мм очищают от пыли, механических загрязнений и обезжиривают органическими растворителями.</w:t>
      </w:r>
    </w:p>
    <w:p w:rsidR="00000000" w:rsidDel="00000000" w:rsidP="00000000" w:rsidRDefault="00000000" w:rsidRPr="00000000" w14:paraId="000000C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На плоскую поверхность изделия устанавливают поворотный молоток массой 212,5 г таким образом, чтобы головка молотка вертикально падала на горизонтальную поверхность изделия. Производят не менее двух ударов молотком так, чтобы расстояние между параллельными отпечатками составляло 6 мм, а расстояние от края отпечатка до края изделия составило не менее 13 мм.</w:t>
      </w:r>
    </w:p>
    <w:p w:rsidR="00000000" w:rsidDel="00000000" w:rsidP="00000000" w:rsidRDefault="00000000" w:rsidRPr="00000000" w14:paraId="000000D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Схема поворотного молотка приведена в приложении.</w:t>
      </w:r>
    </w:p>
    <w:p w:rsidR="00000000" w:rsidDel="00000000" w:rsidP="00000000" w:rsidRDefault="00000000" w:rsidRPr="00000000" w14:paraId="000000D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2"/>
        <w:keepNext w:val="0"/>
        <w:keepLines w:val="0"/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360" w:before="0" w:lineRule="auto"/>
        <w:jc w:val="right"/>
        <w:rPr>
          <w:b w:val="1"/>
          <w:color w:val="444444"/>
          <w:sz w:val="24"/>
          <w:szCs w:val="24"/>
        </w:rPr>
      </w:pPr>
      <w:bookmarkStart w:colFirst="0" w:colLast="0" w:name="_cqdqeri8m1g5" w:id="5"/>
      <w:bookmarkEnd w:id="5"/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ПРИЛОЖЕНИЕ</w:t>
      </w:r>
    </w:p>
    <w:p w:rsidR="00000000" w:rsidDel="00000000" w:rsidP="00000000" w:rsidRDefault="00000000" w:rsidRPr="00000000" w14:paraId="000000D5">
      <w:pPr>
        <w:pStyle w:val="Heading2"/>
        <w:keepNext w:val="0"/>
        <w:keepLines w:val="0"/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360" w:before="0" w:lineRule="auto"/>
        <w:jc w:val="right"/>
        <w:rPr>
          <w:b w:val="1"/>
          <w:color w:val="444444"/>
          <w:sz w:val="24"/>
          <w:szCs w:val="24"/>
        </w:rPr>
      </w:pPr>
      <w:bookmarkStart w:colFirst="0" w:colLast="0" w:name="_cqdqeri8m1g5" w:id="5"/>
      <w:bookmarkEnd w:id="5"/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Рекомендуемое</w:t>
      </w:r>
    </w:p>
    <w:p w:rsidR="00000000" w:rsidDel="00000000" w:rsidP="00000000" w:rsidRDefault="00000000" w:rsidRPr="00000000" w14:paraId="000000D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E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СХЕМА ПОВОРОТНОГО МОЛОТКА</w:t>
      </w:r>
    </w:p>
    <w:p w:rsidR="00000000" w:rsidDel="00000000" w:rsidP="00000000" w:rsidRDefault="00000000" w:rsidRPr="00000000" w14:paraId="000000E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9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90"/>
        <w:tblGridChange w:id="0">
          <w:tblGrid>
            <w:gridCol w:w="6690"/>
          </w:tblGrid>
        </w:tblGridChange>
      </w:tblGrid>
      <w:tr>
        <w:trPr>
          <w:trHeight w:val="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</w:rPr>
              <w:drawing>
                <wp:inline distB="114300" distT="114300" distL="114300" distR="114300">
                  <wp:extent cx="3810000" cy="3454400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45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center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E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center"/>
        <w:rPr>
          <w:color w:val="444444"/>
          <w:sz w:val="24"/>
          <w:szCs w:val="24"/>
        </w:rPr>
      </w:pP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1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 - молот; 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2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 - прижимная плита; 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3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 - поверхность образца; </w:t>
      </w:r>
      <w:r w:rsidDel="00000000" w:rsidR="00000000" w:rsidRPr="00000000">
        <w:rPr>
          <w:color w:val="444444"/>
          <w:sz w:val="24"/>
          <w:szCs w:val="24"/>
        </w:rPr>
        <w:drawing>
          <wp:inline distB="114300" distT="114300" distL="114300" distR="114300">
            <wp:extent cx="127000" cy="1397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 - размер, определяемый опытным путем в зависимости от металла, из которого изготовлена головка молотка</w:t>
      </w:r>
    </w:p>
    <w:p w:rsidR="00000000" w:rsidDel="00000000" w:rsidP="00000000" w:rsidRDefault="00000000" w:rsidRPr="00000000" w14:paraId="000000E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Электронный текст документа</w:t>
      </w:r>
    </w:p>
    <w:p w:rsidR="00000000" w:rsidDel="00000000" w:rsidP="00000000" w:rsidRDefault="00000000" w:rsidRPr="00000000" w14:paraId="000000E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подготовлен АО "Кодекс" и сверен по:</w:t>
      </w:r>
    </w:p>
    <w:p w:rsidR="00000000" w:rsidDel="00000000" w:rsidP="00000000" w:rsidRDefault="00000000" w:rsidRPr="00000000" w14:paraId="000000E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официальное издание</w:t>
      </w:r>
    </w:p>
    <w:p w:rsidR="00000000" w:rsidDel="00000000" w:rsidP="00000000" w:rsidRDefault="00000000" w:rsidRPr="00000000" w14:paraId="000000E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Покрытия металлические.</w:t>
      </w:r>
    </w:p>
    <w:p w:rsidR="00000000" w:rsidDel="00000000" w:rsidP="00000000" w:rsidRDefault="00000000" w:rsidRPr="00000000" w14:paraId="000000E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Защита от коррозии:</w:t>
      </w:r>
    </w:p>
    <w:p w:rsidR="00000000" w:rsidDel="00000000" w:rsidP="00000000" w:rsidRDefault="00000000" w:rsidRPr="00000000" w14:paraId="000000E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Сб. стандартов. -</w:t>
      </w:r>
    </w:p>
    <w:p w:rsidR="00000000" w:rsidDel="00000000" w:rsidP="00000000" w:rsidRDefault="00000000" w:rsidRPr="00000000" w14:paraId="000000F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М.: ИПК Издательство стандартов, 2005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22" Type="http://schemas.openxmlformats.org/officeDocument/2006/relationships/hyperlink" Target="https://docs.cntd.ru/document/1200017281#7D20K3" TargetMode="External"/><Relationship Id="rId21" Type="http://schemas.openxmlformats.org/officeDocument/2006/relationships/image" Target="media/image4.png"/><Relationship Id="rId24" Type="http://schemas.openxmlformats.org/officeDocument/2006/relationships/hyperlink" Target="https://docs.cntd.ru/document/1200005680#7D20K3" TargetMode="External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cntd.ru/document/1200003954#7D20K3" TargetMode="External"/><Relationship Id="rId26" Type="http://schemas.openxmlformats.org/officeDocument/2006/relationships/hyperlink" Target="https://docs.cntd.ru/document/1200010666#7D20K3" TargetMode="External"/><Relationship Id="rId25" Type="http://schemas.openxmlformats.org/officeDocument/2006/relationships/hyperlink" Target="https://docs.cntd.ru/document/1200010665#7D20K3" TargetMode="External"/><Relationship Id="rId28" Type="http://schemas.openxmlformats.org/officeDocument/2006/relationships/hyperlink" Target="https://docs.cntd.ru/document/1200010670#7D20K3" TargetMode="External"/><Relationship Id="rId27" Type="http://schemas.openxmlformats.org/officeDocument/2006/relationships/hyperlink" Target="https://docs.cntd.ru/document/1200010667#7D20K3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cntd.ru/document/747417966" TargetMode="External"/><Relationship Id="rId29" Type="http://schemas.openxmlformats.org/officeDocument/2006/relationships/image" Target="media/image5.png"/><Relationship Id="rId7" Type="http://schemas.openxmlformats.org/officeDocument/2006/relationships/hyperlink" Target="https://docs.cntd.ru/document/1200126952" TargetMode="External"/><Relationship Id="rId8" Type="http://schemas.openxmlformats.org/officeDocument/2006/relationships/hyperlink" Target="https://docs.cntd.ru/document/1200004819#7D20K3" TargetMode="External"/><Relationship Id="rId31" Type="http://schemas.openxmlformats.org/officeDocument/2006/relationships/image" Target="media/image6.png"/><Relationship Id="rId30" Type="http://schemas.openxmlformats.org/officeDocument/2006/relationships/image" Target="media/image7.png"/><Relationship Id="rId11" Type="http://schemas.openxmlformats.org/officeDocument/2006/relationships/hyperlink" Target="https://docs.cntd.ru/document/1200005680#7D20K3" TargetMode="External"/><Relationship Id="rId10" Type="http://schemas.openxmlformats.org/officeDocument/2006/relationships/hyperlink" Target="https://docs.cntd.ru/document/1200017281#7D20K3" TargetMode="External"/><Relationship Id="rId13" Type="http://schemas.openxmlformats.org/officeDocument/2006/relationships/hyperlink" Target="https://docs.cntd.ru/document/1200010667#7D20K3" TargetMode="External"/><Relationship Id="rId12" Type="http://schemas.openxmlformats.org/officeDocument/2006/relationships/hyperlink" Target="https://docs.cntd.ru/document/1200010665#7D20K3" TargetMode="External"/><Relationship Id="rId15" Type="http://schemas.openxmlformats.org/officeDocument/2006/relationships/hyperlink" Target="https://docs.cntd.ru/document/1200040460#7D20K3" TargetMode="External"/><Relationship Id="rId14" Type="http://schemas.openxmlformats.org/officeDocument/2006/relationships/hyperlink" Target="https://docs.cntd.ru/document/1200010670#7D20K3" TargetMode="External"/><Relationship Id="rId17" Type="http://schemas.openxmlformats.org/officeDocument/2006/relationships/hyperlink" Target="https://docs.cntd.ru/document/1200025678#7D20K3" TargetMode="External"/><Relationship Id="rId16" Type="http://schemas.openxmlformats.org/officeDocument/2006/relationships/hyperlink" Target="https://docs.cntd.ru/document/1200012872" TargetMode="External"/><Relationship Id="rId19" Type="http://schemas.openxmlformats.org/officeDocument/2006/relationships/hyperlink" Target="https://docs.cntd.ru/document/1200004819#7D20K3" TargetMode="External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